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 xml:space="preserve">ять  </w:t>
      </w:r>
      <w:r>
        <w:rPr>
          <w:sz w:val="24"/>
        </w:rPr>
        <w:t xml:space="preserve">на </w:t>
      </w:r>
      <w:r>
        <w:rPr>
          <w:sz w:val="24"/>
        </w:rPr>
        <w:t xml:space="preserve">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23:39:0902003:579</w:t>
      </w:r>
      <w:r>
        <w:rPr>
          <w:sz w:val="24"/>
        </w:rPr>
        <w:t xml:space="preserve">, общей площадью </w:t>
      </w:r>
      <w:r>
        <w:rPr>
          <w:rFonts w:ascii="Times New Roman" w:hAnsi="Times New Roman"/>
          <w:sz w:val="24"/>
        </w:rPr>
        <w:t xml:space="preserve"> </w:t>
      </w:r>
      <w:r>
        <w:rPr>
          <w:rFonts w:ascii="Times New Roman" w:hAnsi="Times New Roman"/>
          <w:sz w:val="24"/>
        </w:rPr>
        <w:t>688</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п. Лесной, ул. Лесная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 xml:space="preserve"> для индивидуального жилищного строительства.</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 xml:space="preserve">43467,84 </w:t>
      </w:r>
      <w:r>
        <w:rPr>
          <w:sz w:val="24"/>
        </w:rPr>
        <w:t>руб. (</w:t>
      </w:r>
      <w:r>
        <w:rPr>
          <w:sz w:val="24"/>
        </w:rPr>
        <w:t>сорок три тысячи четыреста шестьдесят семь рублей 84 копейки</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испо</w:t>
      </w:r>
      <w:r>
        <w:rPr>
          <w:sz w:val="24"/>
        </w:rPr>
        <w:t>льз</w:t>
      </w:r>
      <w:r>
        <w:rPr>
          <w:sz w:val="24"/>
        </w:rPr>
        <w:t>ов</w:t>
      </w:r>
      <w:r>
        <w:rPr>
          <w:sz w:val="24"/>
        </w:rPr>
        <w:t>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w:t>
      </w:r>
      <w:r>
        <w:rPr>
          <w:sz w:val="24"/>
        </w:rPr>
        <w:t>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r>
        <w:rPr>
          <w:sz w:val="24"/>
        </w:rPr>
        <w:t xml:space="preserve"> </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w:t>
      </w:r>
      <w:r>
        <w:rPr>
          <w:sz w:val="24"/>
        </w:rPr>
        <w:t xml:space="preserve"> </w:t>
      </w:r>
      <w:r>
        <w:rPr>
          <w:rFonts w:ascii="Times New Roman" w:hAnsi="Times New Roman"/>
          <w:sz w:val="24"/>
        </w:rPr>
        <w:t>Часть</w:t>
      </w:r>
      <w:r>
        <w:rPr>
          <w:rFonts w:ascii="Times New Roman" w:hAnsi="Times New Roman"/>
          <w:sz w:val="24"/>
        </w:rPr>
        <w:t xml:space="preserve"> участка попадает в </w:t>
      </w:r>
      <w:r>
        <w:rPr>
          <w:rFonts w:ascii="Times New Roman" w:hAnsi="Times New Roman"/>
          <w:sz w:val="24"/>
        </w:rPr>
        <w:t>водоохранную</w:t>
      </w:r>
      <w:r>
        <w:rPr>
          <w:rFonts w:ascii="Times New Roman" w:hAnsi="Times New Roman"/>
          <w:sz w:val="24"/>
        </w:rPr>
        <w:t xml:space="preserve"> зону балки Вторая с притоком (ЗОУИТ 23:00-6.562). </w:t>
      </w:r>
      <w:r>
        <w:rPr>
          <w:rFonts w:ascii="Times New Roman" w:hAnsi="Times New Roman"/>
          <w:sz w:val="24"/>
          <w:highlight w:val="white"/>
        </w:rPr>
        <w:t xml:space="preserve">В соответствии со статьей 65 Водного кодекса Российской Федерации, в границах </w:t>
      </w:r>
      <w:r>
        <w:rPr>
          <w:rFonts w:ascii="Times New Roman" w:hAnsi="Times New Roman"/>
          <w:sz w:val="24"/>
          <w:highlight w:val="white"/>
        </w:rPr>
        <w:t>водоохранной</w:t>
      </w:r>
      <w:r>
        <w:rPr>
          <w:rFonts w:ascii="Times New Roman" w:hAnsi="Times New Roman"/>
          <w:sz w:val="24"/>
          <w:highlight w:val="white"/>
        </w:rPr>
        <w:t xml:space="preserve"> зоны запрещается: 1) использование сточных вод в целях регулирования плодородия почв;2)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w:t>
      </w:r>
      <w:r>
        <w:rPr>
          <w:rFonts w:ascii="Times New Roman" w:hAnsi="Times New Roman"/>
          <w:sz w:val="24"/>
          <w:highlight w:val="white"/>
        </w:rPr>
        <w:t>радиоактивных отходов;3) осуществление авиационных мер по борьбе с вредными организмами;</w:t>
      </w:r>
      <w:r>
        <w:rPr>
          <w:rFonts w:ascii="Times New Roman" w:hAnsi="Times New Roman"/>
          <w:sz w:val="24"/>
          <w:highlight w:val="white"/>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r>
        <w:rPr>
          <w:rFonts w:ascii="Times New Roman" w:hAnsi="Times New Roman"/>
          <w:sz w:val="24"/>
          <w:highlight w:val="white"/>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w:t>
      </w:r>
      <w:r>
        <w:rPr>
          <w:rFonts w:ascii="Times New Roman" w:hAnsi="Times New Roman"/>
          <w:sz w:val="24"/>
          <w:highlight w:val="white"/>
        </w:rPr>
        <w:t>судострои</w:t>
      </w:r>
      <w:r>
        <w:rPr>
          <w:rFonts w:ascii="Times New Roman" w:hAnsi="Times New Roman"/>
          <w:sz w:val="24"/>
          <w:highlight w:val="white"/>
        </w:rPr>
        <w:t>-тельных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Pr>
          <w:rFonts w:ascii="Times New Roman" w:hAnsi="Times New Roman"/>
          <w:sz w:val="24"/>
          <w:highlight w:val="white"/>
        </w:rPr>
        <w:t xml:space="preserve">6) размещение специализированных хранилищ пестицидов и </w:t>
      </w:r>
      <w:r>
        <w:rPr>
          <w:rFonts w:ascii="Times New Roman" w:hAnsi="Times New Roman"/>
          <w:sz w:val="24"/>
          <w:highlight w:val="white"/>
        </w:rPr>
        <w:t>агрохимикатов</w:t>
      </w:r>
      <w:r>
        <w:rPr>
          <w:rFonts w:ascii="Times New Roman" w:hAnsi="Times New Roman"/>
          <w:sz w:val="24"/>
          <w:highlight w:val="white"/>
        </w:rPr>
        <w:t>, применение пестицидов и агрохимикатов;7) сброс сточных, в том числе дренажных, вод;</w:t>
      </w:r>
      <w:r>
        <w:rPr>
          <w:rFonts w:ascii="Times New Roman" w:hAnsi="Times New Roman"/>
          <w:sz w:val="24"/>
          <w:highlight w:val="white"/>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r>
        <w:rPr>
          <w:rFonts w:ascii="Times New Roman" w:hAnsi="Times New Roman"/>
          <w:sz w:val="24"/>
          <w:highlight w:val="white"/>
        </w:rPr>
        <w:t xml:space="preserve"> февраля 1992 года № 2395-1 «О недрах»)</w:t>
      </w:r>
      <w:r>
        <w:rPr>
          <w:rFonts w:ascii="Times New Roman" w:hAnsi="Times New Roman"/>
          <w:sz w:val="24"/>
          <w:highlight w:val="white"/>
        </w:rPr>
        <w:t>.В</w:t>
      </w:r>
      <w:r>
        <w:rPr>
          <w:rFonts w:ascii="Times New Roman" w:hAnsi="Times New Roman"/>
          <w:sz w:val="24"/>
          <w:highlight w:val="white"/>
        </w:rPr>
        <w:t xml:space="preserve"> границах </w:t>
      </w:r>
      <w:r>
        <w:rPr>
          <w:rFonts w:ascii="Times New Roman" w:hAnsi="Times New Roman"/>
          <w:sz w:val="24"/>
          <w:highlight w:val="white"/>
        </w:rPr>
        <w:t>водоохранных</w:t>
      </w:r>
      <w:r>
        <w:rPr>
          <w:rFonts w:ascii="Times New Roman" w:hAnsi="Times New Roman"/>
          <w:sz w:val="24"/>
          <w:highlight w:val="white"/>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Body Text Indent 3"/>
    <w:basedOn w:val="Style_1"/>
    <w:link w:val="Style_4_ch"/>
    <w:pPr>
      <w:spacing w:after="120"/>
      <w:ind w:firstLine="0" w:left="283"/>
    </w:pPr>
    <w:rPr>
      <w:sz w:val="16"/>
    </w:rPr>
  </w:style>
  <w:style w:styleId="Style_4_ch" w:type="character">
    <w:name w:val="Body Text Indent 3"/>
    <w:basedOn w:val="Style_1_ch"/>
    <w:link w:val="Style_4"/>
    <w:rPr>
      <w:sz w:val="16"/>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Гипертекстовая ссылка"/>
    <w:link w:val="Style_8_ch"/>
    <w:rPr>
      <w:b w:val="1"/>
      <w:color w:val="008000"/>
      <w:sz w:val="20"/>
      <w:u w:val="single"/>
    </w:rPr>
  </w:style>
  <w:style w:styleId="Style_8_ch" w:type="character">
    <w:name w:val="Гипертекстовая ссылка"/>
    <w:link w:val="Style_8"/>
    <w:rPr>
      <w:b w:val="1"/>
      <w:color w:val="008000"/>
      <w:sz w:val="20"/>
      <w:u w:val="single"/>
    </w:rPr>
  </w:style>
  <w:style w:styleId="Style_9" w:type="paragraph">
    <w:name w:val="List Paragraph"/>
    <w:basedOn w:val="Style_1"/>
    <w:link w:val="Style_9_ch"/>
    <w:pPr>
      <w:ind w:firstLine="0" w:left="720"/>
      <w:contextualSpacing w:val="1"/>
    </w:pPr>
  </w:style>
  <w:style w:styleId="Style_9_ch" w:type="character">
    <w:name w:val="List Paragraph"/>
    <w:basedOn w:val="Style_1_ch"/>
    <w:link w:val="Style_9"/>
  </w:style>
  <w:style w:styleId="Style_10" w:type="paragraph">
    <w:name w:val="Body Text 2"/>
    <w:basedOn w:val="Style_1"/>
    <w:link w:val="Style_10_ch"/>
    <w:pPr>
      <w:spacing w:after="120" w:line="480" w:lineRule="auto"/>
      <w:ind/>
    </w:pPr>
  </w:style>
  <w:style w:styleId="Style_10_ch" w:type="character">
    <w:name w:val="Body Text 2"/>
    <w:basedOn w:val="Style_1_ch"/>
    <w:link w:val="Style_10"/>
  </w:style>
  <w:style w:styleId="Style_11" w:type="paragraph">
    <w:name w:val="Default Paragraph Font"/>
    <w:link w:val="Style_11_ch"/>
  </w:style>
  <w:style w:styleId="Style_11_ch" w:type="character">
    <w:name w:val="Default Paragraph Font"/>
    <w:link w:val="Style_11"/>
  </w:style>
  <w:style w:styleId="Style_12" w:type="paragraph">
    <w:name w:val="Цветовое выделение"/>
    <w:link w:val="Style_12_ch"/>
    <w:rPr>
      <w:b w:val="1"/>
      <w:color w:val="000080"/>
      <w:sz w:val="20"/>
    </w:rPr>
  </w:style>
  <w:style w:styleId="Style_12_ch" w:type="character">
    <w:name w:val="Цветовое выделение"/>
    <w:link w:val="Style_12"/>
    <w:rPr>
      <w:b w:val="1"/>
      <w:color w:val="000080"/>
      <w:sz w:val="20"/>
    </w:rPr>
  </w:style>
  <w:style w:styleId="Style_13" w:type="paragraph">
    <w:name w:val="toc 3"/>
    <w:next w:val="Style_1"/>
    <w:link w:val="Style_13_ch"/>
    <w:uiPriority w:val="39"/>
    <w:pPr>
      <w:ind w:firstLine="0" w:left="400"/>
      <w:jc w:val="left"/>
    </w:pPr>
    <w:rPr>
      <w:rFonts w:ascii="XO Thames" w:hAnsi="XO Thames"/>
      <w:sz w:val="28"/>
    </w:rPr>
  </w:style>
  <w:style w:styleId="Style_13_ch" w:type="character">
    <w:name w:val="toc 3"/>
    <w:link w:val="Style_13"/>
    <w:rPr>
      <w:rFonts w:ascii="XO Thames" w:hAnsi="XO Thames"/>
      <w:sz w:val="28"/>
    </w:rPr>
  </w:style>
  <w:style w:styleId="Style_14" w:type="paragraph">
    <w:name w:val="heading 5"/>
    <w:basedOn w:val="Style_1"/>
    <w:next w:val="Style_1"/>
    <w:link w:val="Style_14_ch"/>
    <w:uiPriority w:val="9"/>
    <w:qFormat/>
    <w:pPr>
      <w:keepNext w:val="1"/>
      <w:keepLines w:val="1"/>
      <w:spacing w:after="40" w:before="220"/>
      <w:ind/>
      <w:outlineLvl w:val="4"/>
    </w:pPr>
    <w:rPr>
      <w:b w:val="1"/>
      <w:sz w:val="22"/>
    </w:rPr>
  </w:style>
  <w:style w:styleId="Style_14_ch" w:type="character">
    <w:name w:val="heading 5"/>
    <w:basedOn w:val="Style_1_ch"/>
    <w:link w:val="Style_14"/>
    <w:rPr>
      <w:b w:val="1"/>
      <w:sz w:val="22"/>
    </w:rPr>
  </w:style>
  <w:style w:styleId="Style_15" w:type="paragraph">
    <w:name w:val="Таблицы (моноширинный)"/>
    <w:basedOn w:val="Style_1"/>
    <w:next w:val="Style_1"/>
    <w:link w:val="Style_15_ch"/>
    <w:pPr>
      <w:widowControl w:val="0"/>
      <w:ind/>
      <w:jc w:val="both"/>
    </w:pPr>
    <w:rPr>
      <w:rFonts w:ascii="Courier New" w:hAnsi="Courier New"/>
      <w:sz w:val="20"/>
    </w:rPr>
  </w:style>
  <w:style w:styleId="Style_15_ch" w:type="character">
    <w:name w:val="Таблицы (моноширинный)"/>
    <w:basedOn w:val="Style_1_ch"/>
    <w:link w:val="Style_15"/>
    <w:rPr>
      <w:rFonts w:ascii="Courier New" w:hAnsi="Courier New"/>
      <w:sz w:val="20"/>
    </w:rPr>
  </w:style>
  <w:style w:styleId="Style_16" w:type="paragraph">
    <w:name w:val="heading 1"/>
    <w:basedOn w:val="Style_1"/>
    <w:next w:val="Style_1"/>
    <w:link w:val="Style_16_ch"/>
    <w:uiPriority w:val="9"/>
    <w:qFormat/>
    <w:pPr>
      <w:keepNext w:val="1"/>
      <w:widowControl w:val="0"/>
      <w:spacing w:line="400" w:lineRule="exact"/>
      <w:ind w:firstLine="0" w:left="3700" w:right="3600"/>
      <w:jc w:val="both"/>
      <w:outlineLvl w:val="0"/>
    </w:pPr>
    <w:rPr>
      <w:b w:val="1"/>
      <w:sz w:val="28"/>
    </w:rPr>
  </w:style>
  <w:style w:styleId="Style_16_ch" w:type="character">
    <w:name w:val="heading 1"/>
    <w:basedOn w:val="Style_1_ch"/>
    <w:link w:val="Style_16"/>
    <w:rPr>
      <w:b w:val="1"/>
      <w:sz w:val="28"/>
    </w:rPr>
  </w:style>
  <w:style w:styleId="Style_17" w:type="paragraph">
    <w:name w:val="Hyperlink"/>
    <w:link w:val="Style_17_ch"/>
    <w:rPr>
      <w:color w:val="0000FF"/>
      <w:u w:val="single"/>
    </w:rPr>
  </w:style>
  <w:style w:styleId="Style_17_ch" w:type="character">
    <w:name w:val="Hyperlink"/>
    <w:link w:val="Style_17"/>
    <w:rPr>
      <w:color w:val="0000FF"/>
      <w:u w:val="single"/>
    </w:rPr>
  </w:style>
  <w:style w:styleId="Style_18" w:type="paragraph">
    <w:name w:val="Footnote"/>
    <w:link w:val="Style_18_ch"/>
    <w:pPr>
      <w:ind w:firstLine="851" w:left="0"/>
      <w:jc w:val="both"/>
    </w:pPr>
    <w:rPr>
      <w:rFonts w:ascii="XO Thames" w:hAnsi="XO Thames"/>
      <w:sz w:val="22"/>
    </w:rPr>
  </w:style>
  <w:style w:styleId="Style_18_ch" w:type="character">
    <w:name w:val="Footnote"/>
    <w:link w:val="Style_18"/>
    <w:rPr>
      <w:rFonts w:ascii="XO Thames" w:hAnsi="XO Thames"/>
      <w:sz w:val="22"/>
    </w:rPr>
  </w:style>
  <w:style w:styleId="Style_19" w:type="paragraph">
    <w:name w:val="toc 1"/>
    <w:next w:val="Style_1"/>
    <w:link w:val="Style_19_ch"/>
    <w:uiPriority w:val="39"/>
    <w:pPr>
      <w:ind w:firstLine="0" w:left="0"/>
      <w:jc w:val="left"/>
    </w:pPr>
    <w:rPr>
      <w:rFonts w:ascii="XO Thames" w:hAnsi="XO Thames"/>
      <w:b w:val="1"/>
      <w:sz w:val="28"/>
    </w:rPr>
  </w:style>
  <w:style w:styleId="Style_19_ch" w:type="character">
    <w:name w:val="toc 1"/>
    <w:link w:val="Style_19"/>
    <w:rPr>
      <w:rFonts w:ascii="XO Thames" w:hAnsi="XO Thames"/>
      <w:b w:val="1"/>
      <w:sz w:val="28"/>
    </w:rPr>
  </w:style>
  <w:style w:styleId="Style_20" w:type="paragraph">
    <w:name w:val="Header and Footer"/>
    <w:link w:val="Style_20_ch"/>
    <w:pPr>
      <w:spacing w:line="240" w:lineRule="auto"/>
      <w:ind/>
      <w:jc w:val="both"/>
    </w:pPr>
    <w:rPr>
      <w:rFonts w:ascii="XO Thames" w:hAnsi="XO Thames"/>
      <w:sz w:val="20"/>
    </w:rPr>
  </w:style>
  <w:style w:styleId="Style_20_ch" w:type="character">
    <w:name w:val="Header and Footer"/>
    <w:link w:val="Style_20"/>
    <w:rPr>
      <w:rFonts w:ascii="XO Thames" w:hAnsi="XO Thames"/>
      <w:sz w:val="20"/>
    </w:rPr>
  </w:style>
  <w:style w:styleId="Style_21" w:type="paragraph">
    <w:name w:val="toc 9"/>
    <w:next w:val="Style_1"/>
    <w:link w:val="Style_21_ch"/>
    <w:uiPriority w:val="39"/>
    <w:pPr>
      <w:ind w:firstLine="0" w:left="1600"/>
      <w:jc w:val="left"/>
    </w:pPr>
    <w:rPr>
      <w:rFonts w:ascii="XO Thames" w:hAnsi="XO Thames"/>
      <w:sz w:val="28"/>
    </w:rPr>
  </w:style>
  <w:style w:styleId="Style_21_ch" w:type="character">
    <w:name w:val="toc 9"/>
    <w:link w:val="Style_21"/>
    <w:rPr>
      <w:rFonts w:ascii="XO Thames" w:hAnsi="XO Thames"/>
      <w:sz w:val="28"/>
    </w:rPr>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Body Text Indent 2"/>
    <w:basedOn w:val="Style_1"/>
    <w:link w:val="Style_23_ch"/>
    <w:pPr>
      <w:widowControl w:val="0"/>
      <w:spacing w:after="20" w:before="20"/>
      <w:ind w:firstLine="360" w:left="0" w:right="-8"/>
      <w:jc w:val="both"/>
    </w:pPr>
  </w:style>
  <w:style w:styleId="Style_23_ch" w:type="character">
    <w:name w:val="Body Text Indent 2"/>
    <w:basedOn w:val="Style_1_ch"/>
    <w:link w:val="Style_23"/>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Body Text 3"/>
    <w:basedOn w:val="Style_1"/>
    <w:link w:val="Style_28_ch"/>
    <w:pPr>
      <w:spacing w:after="120"/>
      <w:ind/>
    </w:pPr>
    <w:rPr>
      <w:sz w:val="16"/>
    </w:rPr>
  </w:style>
  <w:style w:styleId="Style_28_ch" w:type="character">
    <w:name w:val="Body Text 3"/>
    <w:basedOn w:val="Style_1_ch"/>
    <w:link w:val="Style_28"/>
    <w:rPr>
      <w:sz w:val="16"/>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default="1" w:styleId="Style_54" w:type="table">
    <w:name w:val="Normal Table"/>
    <w:tblPr>
      <w:tblInd w:type="dxa" w:w="0"/>
      <w:tblCellMar>
        <w:top w:type="dxa" w:w="0"/>
        <w:left w:type="dxa" w:w="108"/>
        <w:bottom w:type="dxa" w:w="0"/>
        <w:right w:type="dxa" w:w="108"/>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2023-12-23T19:56:58Z</dcterms:modified>
</cp:coreProperties>
</file>